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3D82D">
      <w:pPr>
        <w:spacing w:line="560" w:lineRule="exact"/>
        <w:jc w:val="center"/>
        <w:rPr>
          <w:rFonts w:hint="eastAsia" w:ascii="方正小标宋简体" w:hAnsi="宋体" w:eastAsia="方正小标宋简体" w:cs="宋体"/>
          <w:bCs/>
          <w:sz w:val="36"/>
          <w:szCs w:val="36"/>
        </w:rPr>
      </w:pPr>
    </w:p>
    <w:p w14:paraId="562C8164">
      <w:pPr>
        <w:spacing w:line="560" w:lineRule="exact"/>
        <w:jc w:val="center"/>
        <w:rPr>
          <w:rFonts w:hint="eastAsia" w:ascii="方正小标宋简体" w:hAnsi="宋体" w:eastAsia="方正小标宋简体" w:cs="宋体"/>
          <w:bCs/>
          <w:sz w:val="36"/>
          <w:szCs w:val="36"/>
        </w:rPr>
      </w:pPr>
      <w:r>
        <w:rPr>
          <w:rFonts w:hint="eastAsia" w:ascii="方正小标宋简体" w:hAnsi="宋体" w:eastAsia="方正小标宋简体" w:cs="宋体"/>
          <w:bCs/>
          <w:sz w:val="36"/>
          <w:szCs w:val="36"/>
        </w:rPr>
        <w:t>黄南州城镇污水垃圾处理设施建设运行情况专项督察整改任务销号情况公示表</w:t>
      </w:r>
    </w:p>
    <w:p w14:paraId="1BCC1764">
      <w:pPr>
        <w:spacing w:line="560" w:lineRule="exact"/>
        <w:jc w:val="center"/>
        <w:rPr>
          <w:rFonts w:ascii="方正小标宋简体" w:hAnsi="宋体" w:eastAsia="方正小标宋简体" w:cs="宋体"/>
          <w:bCs/>
          <w:sz w:val="36"/>
          <w:szCs w:val="36"/>
        </w:rPr>
      </w:pPr>
    </w:p>
    <w:tbl>
      <w:tblPr>
        <w:tblStyle w:val="3"/>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04"/>
      </w:tblGrid>
      <w:tr w14:paraId="607E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1996" w:type="dxa"/>
            <w:noWrap w:val="0"/>
            <w:vAlign w:val="center"/>
          </w:tcPr>
          <w:p w14:paraId="37CF4E6E">
            <w:pPr>
              <w:spacing w:line="560" w:lineRule="exact"/>
              <w:rPr>
                <w:rFonts w:ascii="仿宋" w:hAnsi="仿宋" w:eastAsia="仿宋" w:cs="仿宋"/>
                <w:sz w:val="24"/>
              </w:rPr>
            </w:pPr>
            <w:r>
              <w:rPr>
                <w:rFonts w:hint="eastAsia" w:ascii="仿宋" w:hAnsi="仿宋" w:eastAsia="仿宋" w:cs="仿宋"/>
                <w:sz w:val="24"/>
              </w:rPr>
              <w:t>整改任务概述</w:t>
            </w:r>
          </w:p>
        </w:tc>
        <w:tc>
          <w:tcPr>
            <w:tcW w:w="7004" w:type="dxa"/>
            <w:noWrap w:val="0"/>
            <w:vAlign w:val="top"/>
          </w:tcPr>
          <w:p w14:paraId="685DDBFE">
            <w:pPr>
              <w:spacing w:line="560" w:lineRule="exact"/>
              <w:rPr>
                <w:rFonts w:hint="eastAsia" w:ascii="仿宋" w:hAnsi="仿宋" w:eastAsia="仿宋" w:cs="仿宋"/>
                <w:sz w:val="24"/>
                <w:lang w:eastAsia="zh-CN"/>
              </w:rPr>
            </w:pPr>
            <w:r>
              <w:rPr>
                <w:rFonts w:hint="eastAsia" w:ascii="仿宋" w:hAnsi="仿宋" w:eastAsia="仿宋" w:cs="仿宋"/>
                <w:sz w:val="24"/>
                <w:lang w:eastAsia="zh-CN"/>
              </w:rPr>
              <w:t>麦秀镇垃圾填埋场垃圾清场及恢复治理后未按相关要求对地下水、地表水持续开展跟踪监测。</w:t>
            </w:r>
          </w:p>
        </w:tc>
      </w:tr>
      <w:tr w14:paraId="4888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996" w:type="dxa"/>
            <w:noWrap w:val="0"/>
            <w:vAlign w:val="center"/>
          </w:tcPr>
          <w:p w14:paraId="6B0FAAC1">
            <w:pPr>
              <w:spacing w:line="560" w:lineRule="exact"/>
              <w:rPr>
                <w:rFonts w:ascii="仿宋" w:hAnsi="仿宋" w:eastAsia="仿宋" w:cs="仿宋"/>
                <w:sz w:val="24"/>
              </w:rPr>
            </w:pPr>
            <w:r>
              <w:rPr>
                <w:rFonts w:hint="eastAsia" w:ascii="仿宋" w:hAnsi="仿宋" w:eastAsia="仿宋" w:cs="仿宋"/>
                <w:sz w:val="24"/>
              </w:rPr>
              <w:t>整改责任单位</w:t>
            </w:r>
          </w:p>
        </w:tc>
        <w:tc>
          <w:tcPr>
            <w:tcW w:w="7004" w:type="dxa"/>
            <w:noWrap w:val="0"/>
            <w:vAlign w:val="center"/>
          </w:tcPr>
          <w:p w14:paraId="437F40E5">
            <w:pPr>
              <w:spacing w:line="560" w:lineRule="exact"/>
              <w:rPr>
                <w:rFonts w:hint="eastAsia" w:ascii="仿宋" w:hAnsi="仿宋" w:eastAsia="仿宋" w:cs="仿宋"/>
                <w:sz w:val="24"/>
                <w:lang w:eastAsia="zh-CN"/>
              </w:rPr>
            </w:pPr>
            <w:r>
              <w:rPr>
                <w:rFonts w:hint="eastAsia" w:ascii="仿宋" w:hAnsi="仿宋" w:eastAsia="仿宋" w:cs="仿宋"/>
                <w:sz w:val="24"/>
                <w:lang w:eastAsia="zh-CN"/>
              </w:rPr>
              <w:t>泽库县生态环境局</w:t>
            </w:r>
          </w:p>
        </w:tc>
      </w:tr>
      <w:tr w14:paraId="3E6B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96" w:type="dxa"/>
            <w:noWrap w:val="0"/>
            <w:vAlign w:val="center"/>
          </w:tcPr>
          <w:p w14:paraId="225A1738">
            <w:pPr>
              <w:spacing w:line="560" w:lineRule="exact"/>
              <w:rPr>
                <w:rFonts w:ascii="仿宋" w:hAnsi="仿宋" w:eastAsia="仿宋" w:cs="仿宋"/>
                <w:sz w:val="24"/>
              </w:rPr>
            </w:pPr>
            <w:r>
              <w:rPr>
                <w:rFonts w:hint="eastAsia" w:ascii="仿宋" w:hAnsi="仿宋" w:eastAsia="仿宋" w:cs="仿宋"/>
                <w:sz w:val="24"/>
              </w:rPr>
              <w:t>整改目标</w:t>
            </w:r>
          </w:p>
        </w:tc>
        <w:tc>
          <w:tcPr>
            <w:tcW w:w="7004" w:type="dxa"/>
            <w:noWrap w:val="0"/>
            <w:vAlign w:val="top"/>
          </w:tcPr>
          <w:p w14:paraId="4D88C152">
            <w:pPr>
              <w:spacing w:line="560" w:lineRule="exact"/>
              <w:rPr>
                <w:rFonts w:hint="eastAsia" w:ascii="仿宋" w:hAnsi="仿宋" w:eastAsia="仿宋" w:cs="仿宋"/>
                <w:sz w:val="24"/>
                <w:lang w:eastAsia="zh-CN"/>
              </w:rPr>
            </w:pPr>
            <w:r>
              <w:rPr>
                <w:rFonts w:hint="eastAsia" w:ascii="仿宋" w:hAnsi="仿宋" w:eastAsia="仿宋" w:cs="仿宋"/>
                <w:sz w:val="24"/>
                <w:lang w:eastAsia="zh-CN"/>
              </w:rPr>
              <w:t>及时按相关要求对地下水、地表水持续开展跟踪检测，确保水质达标。</w:t>
            </w:r>
          </w:p>
        </w:tc>
      </w:tr>
      <w:tr w14:paraId="6903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1996" w:type="dxa"/>
            <w:noWrap w:val="0"/>
            <w:vAlign w:val="center"/>
          </w:tcPr>
          <w:p w14:paraId="22CBD703">
            <w:pPr>
              <w:spacing w:line="560" w:lineRule="exact"/>
              <w:rPr>
                <w:rFonts w:ascii="仿宋" w:hAnsi="仿宋" w:eastAsia="仿宋" w:cs="仿宋"/>
                <w:sz w:val="24"/>
              </w:rPr>
            </w:pPr>
            <w:r>
              <w:rPr>
                <w:rFonts w:hint="eastAsia" w:ascii="仿宋" w:hAnsi="仿宋" w:eastAsia="仿宋" w:cs="仿宋"/>
                <w:sz w:val="24"/>
              </w:rPr>
              <w:t>整改措施及成效</w:t>
            </w:r>
          </w:p>
        </w:tc>
        <w:tc>
          <w:tcPr>
            <w:tcW w:w="7004" w:type="dxa"/>
            <w:noWrap w:val="0"/>
            <w:vAlign w:val="top"/>
          </w:tcPr>
          <w:p w14:paraId="3875CE1C">
            <w:pPr>
              <w:spacing w:line="560" w:lineRule="exact"/>
              <w:rPr>
                <w:rFonts w:hint="eastAsia" w:ascii="仿宋" w:hAnsi="仿宋" w:eastAsia="仿宋" w:cs="仿宋"/>
                <w:sz w:val="24"/>
                <w:lang w:eastAsia="zh-CN"/>
              </w:rPr>
            </w:pPr>
            <w:r>
              <w:rPr>
                <w:rFonts w:hint="eastAsia" w:ascii="仿宋" w:hAnsi="仿宋" w:eastAsia="仿宋" w:cs="仿宋"/>
                <w:sz w:val="24"/>
                <w:lang w:eastAsia="zh-CN"/>
              </w:rPr>
              <w:t>泽库县生态环境局跟青海汇君检测技术有限公司签订麦秀镇生活垃圾填埋场清场后地表水、地下水和土壤跟踪检测合同，连续两年进行跟踪检测。</w:t>
            </w:r>
          </w:p>
          <w:p w14:paraId="558E9E7B">
            <w:pPr>
              <w:spacing w:line="560" w:lineRule="exact"/>
              <w:rPr>
                <w:rFonts w:hint="eastAsia" w:ascii="仿宋" w:hAnsi="仿宋" w:eastAsia="仿宋" w:cs="仿宋"/>
                <w:sz w:val="24"/>
                <w:lang w:eastAsia="zh-CN"/>
              </w:rPr>
            </w:pPr>
            <w:r>
              <w:rPr>
                <w:rFonts w:hint="eastAsia" w:ascii="仿宋" w:hAnsi="仿宋" w:eastAsia="仿宋" w:cs="仿宋"/>
                <w:sz w:val="24"/>
                <w:lang w:eastAsia="zh-CN"/>
              </w:rPr>
              <w:t>两年跟踪检查结果均为合格。</w:t>
            </w:r>
          </w:p>
        </w:tc>
      </w:tr>
      <w:tr w14:paraId="7989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996" w:type="dxa"/>
            <w:noWrap w:val="0"/>
            <w:vAlign w:val="center"/>
          </w:tcPr>
          <w:p w14:paraId="6943CC8D">
            <w:pPr>
              <w:spacing w:line="560" w:lineRule="exact"/>
              <w:rPr>
                <w:rFonts w:ascii="仿宋" w:hAnsi="仿宋" w:eastAsia="仿宋" w:cs="仿宋"/>
                <w:sz w:val="24"/>
              </w:rPr>
            </w:pPr>
            <w:r>
              <w:rPr>
                <w:rFonts w:hint="eastAsia" w:ascii="仿宋" w:hAnsi="仿宋" w:eastAsia="仿宋" w:cs="仿宋"/>
                <w:sz w:val="24"/>
              </w:rPr>
              <w:t>整改时间</w:t>
            </w:r>
          </w:p>
        </w:tc>
        <w:tc>
          <w:tcPr>
            <w:tcW w:w="7004" w:type="dxa"/>
            <w:noWrap w:val="0"/>
            <w:vAlign w:val="center"/>
          </w:tcPr>
          <w:p w14:paraId="6C344480">
            <w:pPr>
              <w:spacing w:line="560" w:lineRule="exact"/>
              <w:rPr>
                <w:rFonts w:ascii="仿宋" w:hAnsi="仿宋" w:eastAsia="仿宋" w:cs="仿宋"/>
                <w:sz w:val="24"/>
              </w:rPr>
            </w:pPr>
            <w:r>
              <w:rPr>
                <w:rFonts w:hint="eastAsia" w:ascii="仿宋" w:hAnsi="仿宋" w:eastAsia="仿宋" w:cs="仿宋"/>
                <w:sz w:val="24"/>
                <w:lang w:val="en-US" w:eastAsia="zh-CN"/>
              </w:rPr>
              <w:t>2022</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月至</w:t>
            </w:r>
            <w:r>
              <w:rPr>
                <w:rFonts w:hint="eastAsia" w:ascii="仿宋" w:hAnsi="仿宋" w:eastAsia="仿宋" w:cs="仿宋"/>
                <w:sz w:val="24"/>
                <w:lang w:val="en-US" w:eastAsia="zh-CN"/>
              </w:rPr>
              <w:t>2024</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w:t>
            </w:r>
          </w:p>
        </w:tc>
      </w:tr>
      <w:tr w14:paraId="6D64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1996" w:type="dxa"/>
            <w:noWrap w:val="0"/>
            <w:vAlign w:val="center"/>
          </w:tcPr>
          <w:p w14:paraId="0D821769">
            <w:pPr>
              <w:spacing w:line="560" w:lineRule="exact"/>
              <w:jc w:val="center"/>
              <w:rPr>
                <w:rFonts w:ascii="仿宋" w:hAnsi="仿宋" w:eastAsia="仿宋" w:cs="仿宋"/>
                <w:sz w:val="24"/>
              </w:rPr>
            </w:pPr>
            <w:r>
              <w:rPr>
                <w:rFonts w:hint="eastAsia" w:ascii="仿宋" w:hAnsi="仿宋" w:eastAsia="仿宋" w:cs="仿宋"/>
                <w:sz w:val="24"/>
              </w:rPr>
              <w:t>社会监督联系人及电话</w:t>
            </w:r>
          </w:p>
        </w:tc>
        <w:tc>
          <w:tcPr>
            <w:tcW w:w="7004" w:type="dxa"/>
            <w:noWrap w:val="0"/>
            <w:vAlign w:val="top"/>
          </w:tcPr>
          <w:p w14:paraId="00E93969">
            <w:pPr>
              <w:spacing w:line="560" w:lineRule="exact"/>
              <w:rPr>
                <w:rFonts w:ascii="仿宋" w:hAnsi="仿宋" w:eastAsia="仿宋" w:cs="仿宋"/>
                <w:sz w:val="24"/>
              </w:rPr>
            </w:pPr>
          </w:p>
          <w:p w14:paraId="602E7EBA">
            <w:pPr>
              <w:spacing w:line="560" w:lineRule="exact"/>
              <w:rPr>
                <w:rFonts w:hint="default" w:ascii="仿宋" w:hAnsi="仿宋" w:eastAsia="仿宋" w:cs="仿宋"/>
                <w:sz w:val="24"/>
                <w:lang w:val="en-US" w:eastAsia="zh-CN"/>
              </w:rPr>
            </w:pPr>
            <w:r>
              <w:rPr>
                <w:rFonts w:hint="eastAsia" w:ascii="仿宋" w:hAnsi="仿宋" w:eastAsia="仿宋" w:cs="仿宋"/>
                <w:sz w:val="24"/>
                <w:lang w:eastAsia="zh-CN"/>
              </w:rPr>
              <w:t>才让行秀</w:t>
            </w:r>
            <w:r>
              <w:rPr>
                <w:rFonts w:hint="eastAsia" w:ascii="仿宋" w:hAnsi="仿宋" w:eastAsia="仿宋" w:cs="仿宋"/>
                <w:sz w:val="24"/>
                <w:lang w:val="en-US" w:eastAsia="zh-CN"/>
              </w:rPr>
              <w:t xml:space="preserve">    0973-8752126</w:t>
            </w:r>
            <w:bookmarkStart w:id="0" w:name="_GoBack"/>
            <w:bookmarkEnd w:id="0"/>
          </w:p>
          <w:p w14:paraId="73AE2269">
            <w:pPr>
              <w:spacing w:line="560" w:lineRule="exact"/>
              <w:rPr>
                <w:rFonts w:ascii="仿宋" w:hAnsi="仿宋" w:eastAsia="仿宋" w:cs="仿宋"/>
                <w:sz w:val="24"/>
              </w:rPr>
            </w:pPr>
          </w:p>
        </w:tc>
      </w:tr>
    </w:tbl>
    <w:p w14:paraId="3493B9C7">
      <w:r>
        <w:rPr>
          <w:rFonts w:hint="eastAsia" w:ascii="仿宋" w:hAnsi="仿宋" w:eastAsia="仿宋" w:cs="仿宋"/>
          <w:sz w:val="24"/>
        </w:rPr>
        <w:t>备注：社会监督联系人须由县或州级部门负责统筹督察整改的工作机构有关人员担任。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66210"/>
    <w:rsid w:val="1D043269"/>
    <w:rsid w:val="3ED66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2025-09-19T02:15:00Z</dcterms:created>
  <dc:creator>胡萝卜须</dc:creator>
  <cp:lastModifiedBy>胡萝卜须</cp:lastModifiedBy>
  <dcterms:modified xsi:type="dcterms:W3CDTF">2025-09-19T02:38:06Z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8C9CD4234CB643C0882B0DBD5FE49F77_11</vt:lpwstr>
  </property>
  <property fmtid="{D5CDD505-2E9C-101B-9397-08002B2CF9AE}" pid="4" name="KSOTemplateDocerSaveRecord">
    <vt:lpwstr>eyJoZGlkIjoiMTIxMTU2MzQ0YjZmZDhiMmU3NDcxNzUxODc3ODkwNjIiLCJ1c2VySWQiOiIzNTM3NTg5ODYifQ==</vt:lpwstr>
  </property>
</Properties>
</file>